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ascii="Verdana" w:hAnsi="Verdana"/>
          <w:b/>
          <w:bCs/>
          <w:color w:val="000000"/>
          <w:sz w:val="20"/>
          <w:szCs w:val="20"/>
        </w:rPr>
        <w:t>TERMO DE REFERÊNCIA – LEI 14.133/21</w:t>
      </w:r>
    </w:p>
    <w:p>
      <w:pPr>
        <w:pStyle w:val="Normal"/>
        <w:spacing w:lineRule="auto" w:line="24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/>
      </w:pPr>
      <w:r>
        <w:rPr>
          <w:rFonts w:ascii="Verdana" w:hAnsi="Verdana"/>
          <w:b/>
          <w:bCs/>
          <w:iCs/>
          <w:color w:val="000000"/>
          <w:sz w:val="20"/>
          <w:szCs w:val="20"/>
        </w:rPr>
        <w:t xml:space="preserve">REGISTRO DE PREÇOS - </w:t>
      </w:r>
      <w:r>
        <w:rPr>
          <w:rFonts w:eastAsia="Times New Roman" w:cs="Times New Roman" w:ascii="Verdana" w:hAnsi="Verdana"/>
          <w:b/>
          <w:bCs/>
          <w:iCs/>
          <w:color w:val="000000"/>
          <w:kern w:val="0"/>
          <w:sz w:val="20"/>
          <w:szCs w:val="20"/>
          <w:lang w:val="pt-BR" w:eastAsia="pt-BR" w:bidi="ar-SA"/>
        </w:rPr>
        <w:t>CONTRATAÇÃO DE EMPRESA ESPECIALIZADA EM SERVIÇOS DE PLOTAGEM, FABRICAÇÃO E REFORMA DE PLACAS, FAIXAS E BANNERS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 w:val="false"/>
          <w:iCs w:val="false"/>
          <w:color w:val="000000"/>
          <w:sz w:val="20"/>
          <w:szCs w:val="20"/>
        </w:rPr>
        <w:t>003928</w:t>
      </w: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/2026 de 08 de junho de 2026 (Secretaria Municipal de Administração)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bCs/>
          <w:i/>
          <w:i/>
          <w:color w:val="000000"/>
          <w:sz w:val="20"/>
          <w:szCs w:val="20"/>
        </w:rPr>
      </w:pPr>
      <w:r>
        <w:rPr>
          <w:rFonts w:cs="Arial" w:ascii="Verdana" w:hAnsi="Verdana"/>
          <w:b/>
          <w:bCs/>
          <w:i/>
          <w:color w:val="000000"/>
          <w:sz w:val="20"/>
          <w:szCs w:val="20"/>
        </w:rPr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bCs/>
          <w:i/>
          <w:i/>
          <w:color w:val="000000"/>
          <w:sz w:val="20"/>
          <w:szCs w:val="20"/>
        </w:rPr>
      </w:pPr>
      <w:r>
        <w:rPr>
          <w:rFonts w:cs="Arial" w:ascii="Verdana" w:hAnsi="Verdana"/>
          <w:b/>
          <w:bCs/>
          <w:i/>
          <w:color w:val="000000"/>
          <w:sz w:val="20"/>
          <w:szCs w:val="20"/>
        </w:rPr>
      </w:r>
    </w:p>
    <w:p>
      <w:pPr>
        <w:pStyle w:val="Nivel1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>1. DAS CONDIÇÕES GERAIS DA AQUISIÇÃO/CONTRATAÇÃO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1.1 Registro de preços para a contratação de empresa especializada na prestação de</w:t>
      </w:r>
      <w:r>
        <w:rPr>
          <w:rFonts w:ascii="Verdana" w:hAnsi="Verdana"/>
          <w:b/>
          <w:bCs/>
          <w:iCs/>
          <w:sz w:val="20"/>
          <w:szCs w:val="20"/>
        </w:rPr>
        <w:t xml:space="preserve"> </w:t>
      </w:r>
      <w:r>
        <w:rPr>
          <w:rFonts w:ascii="Verdana" w:hAnsi="Verdana"/>
          <w:iCs/>
          <w:sz w:val="20"/>
          <w:szCs w:val="20"/>
        </w:rPr>
        <w:t xml:space="preserve"> </w:t>
      </w:r>
      <w:r>
        <w:rPr>
          <w:rFonts w:cs="Arial" w:ascii="Verdana" w:hAnsi="Verdana"/>
          <w:b w:val="false"/>
          <w:bCs w:val="false"/>
          <w:iCs/>
          <w:sz w:val="20"/>
          <w:szCs w:val="20"/>
        </w:rPr>
        <w:t>serviços de plotagem, fabricação e reforma de placas, faixas e banners,</w:t>
      </w:r>
      <w:r>
        <w:rPr>
          <w:rFonts w:ascii="Verdana" w:hAnsi="Verdana"/>
          <w:iCs/>
          <w:sz w:val="20"/>
          <w:szCs w:val="20"/>
        </w:rPr>
        <w:t xml:space="preserve"> para um período de 01 (um) ano, r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 xml:space="preserve">elacionados e especificados  neste </w:t>
      </w:r>
      <w:r>
        <w:rPr>
          <w:rFonts w:eastAsia="Times New Roman" w:cs="Times New Roman" w:ascii="Verdana" w:hAnsi="Verdana"/>
          <w:iCs/>
          <w:color w:val="000000"/>
          <w:kern w:val="0"/>
          <w:sz w:val="20"/>
          <w:szCs w:val="20"/>
          <w:lang w:val="pt-BR" w:eastAsia="pt-BR" w:bidi="ar-SA"/>
        </w:rPr>
        <w:t>TR e ETP, apêndice dos autos.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 w:eastAsia="Times New Roman" w:cs="Times New Roman"/>
          <w:iCs/>
          <w:color w:val="000000"/>
          <w:kern w:val="0"/>
          <w:sz w:val="20"/>
          <w:szCs w:val="20"/>
          <w:lang w:val="pt-BR" w:eastAsia="pt-BR" w:bidi="ar-SA"/>
        </w:rPr>
      </w:pPr>
      <w:r>
        <w:rPr>
          <w:rFonts w:eastAsia="Times New Roman" w:cs="Times New Roman" w:ascii="Verdana" w:hAnsi="Verdana"/>
          <w:iCs/>
          <w:color w:val="000000"/>
          <w:kern w:val="0"/>
          <w:sz w:val="20"/>
          <w:szCs w:val="20"/>
          <w:lang w:val="pt-BR" w:eastAsia="pt-BR" w:bidi="ar-SA"/>
        </w:rPr>
      </w:r>
    </w:p>
    <w:tbl>
      <w:tblPr>
        <w:tblW w:w="9933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63"/>
        <w:gridCol w:w="3787"/>
        <w:gridCol w:w="1049"/>
        <w:gridCol w:w="1183"/>
        <w:gridCol w:w="1283"/>
        <w:gridCol w:w="1867"/>
      </w:tblGrid>
      <w:tr>
        <w:trPr>
          <w:trHeight w:val="269" w:hRule="atLeast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</w:rPr>
              <w:t>Item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</w:rPr>
              <w:t>Descrição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</w:rPr>
              <w:t>Quant.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</w:rPr>
              <w:t>Unidade de Medida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</w:rPr>
              <w:t>Preço estimado unitário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</w:rPr>
              <w:t>Preço estimado total</w:t>
            </w:r>
          </w:p>
        </w:tc>
      </w:tr>
      <w:tr>
        <w:trPr>
          <w:trHeight w:val="269" w:hRule="atLeast"/>
        </w:trPr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confecção de publicidade, colagem, locação de placa outdoor, 15 dias, tamanho 9mts x 3 mts e criação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55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Und.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R$ 650,00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R$ 35.750,00</w:t>
            </w:r>
          </w:p>
        </w:tc>
      </w:tr>
      <w:tr>
        <w:trPr>
          <w:trHeight w:val="269" w:hRule="atLeast"/>
        </w:trPr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confecção de faixas e banners em lona com impressão digital, com acabamento em ilhós ou madeira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140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m²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R$ 89,90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R$ 12.586,00</w:t>
            </w:r>
          </w:p>
        </w:tc>
      </w:tr>
      <w:tr>
        <w:trPr>
          <w:trHeight w:val="269" w:hRule="atLeast"/>
        </w:trPr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 de confecção de adesivos coloridos com impressão digital e colagem.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155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m²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R$ 89,90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R$ 13.934,50</w:t>
            </w:r>
          </w:p>
        </w:tc>
      </w:tr>
      <w:tr>
        <w:trPr>
          <w:trHeight w:val="269" w:hRule="atLeast"/>
        </w:trPr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 confecção de adesivos coloridos com impressão digital e colagem em veículos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120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m²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R$ 89,90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R$ 10.788,00</w:t>
            </w:r>
          </w:p>
        </w:tc>
      </w:tr>
      <w:tr>
        <w:trPr>
          <w:trHeight w:val="269" w:hRule="atLeast"/>
        </w:trPr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confecção de placas, instalado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205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m²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R$ 295,00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R$ 60.475,00</w:t>
            </w:r>
          </w:p>
        </w:tc>
      </w:tr>
      <w:tr>
        <w:trPr>
          <w:trHeight w:val="269" w:hRule="atLeast"/>
        </w:trPr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reformas de placas, instalado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165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m²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R$ 200,00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R$ 33.000,00</w:t>
            </w:r>
          </w:p>
        </w:tc>
      </w:tr>
      <w:tr>
        <w:trPr>
          <w:trHeight w:val="269" w:hRule="atLeast"/>
        </w:trPr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Serviço de instalação de película de controle solar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200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m²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R$ 128,00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R$ 25.600,00</w:t>
            </w:r>
          </w:p>
        </w:tc>
      </w:tr>
      <w:tr>
        <w:trPr>
          <w:trHeight w:val="206" w:hRule="atLeast"/>
        </w:trPr>
        <w:tc>
          <w:tcPr>
            <w:tcW w:w="993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</w:rPr>
              <w:t xml:space="preserve">VALOR ESTIMADO TOTAL R$  </w:t>
            </w:r>
            <w:r>
              <w:rPr>
                <w:rFonts w:eastAsia="Times New Roman" w:cs="Arial" w:ascii="Verdana" w:hAnsi="Verdana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192.133,50 (cento e noventa e dois mil cento e trinta e três reais e cinquenta centavos)</w:t>
            </w:r>
          </w:p>
        </w:tc>
      </w:tr>
    </w:tbl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 w:eastAsia="Times New Roman" w:cs="Times New Roman"/>
          <w:iCs/>
          <w:color w:val="000000"/>
          <w:kern w:val="0"/>
          <w:sz w:val="20"/>
          <w:szCs w:val="20"/>
          <w:lang w:val="pt-BR" w:eastAsia="pt-BR" w:bidi="ar-SA"/>
        </w:rPr>
      </w:pPr>
      <w:r>
        <w:rPr>
          <w:rFonts w:eastAsia="Times New Roman" w:cs="Times New Roman" w:ascii="Verdana" w:hAnsi="Verdana"/>
          <w:iCs/>
          <w:color w:val="000000"/>
          <w:kern w:val="0"/>
          <w:sz w:val="20"/>
          <w:szCs w:val="20"/>
          <w:lang w:val="pt-BR" w:eastAsia="pt-BR" w:bidi="ar-SA"/>
        </w:rPr>
      </w:r>
    </w:p>
    <w:p>
      <w:pPr>
        <w:pStyle w:val="Normal"/>
        <w:suppressAutoHyphens w:val="false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1.2. Os serviços propostos deverão, obrigatoriamente, atender as exigências de qualidade, observados os padrões e normas baixadas pelos órgãos competentes de controle e fiscalização de qualidade industrial ou equiparadas.</w:t>
      </w:r>
      <w:bookmarkStart w:id="0" w:name="page66R_mcid0"/>
    </w:p>
    <w:p>
      <w:pPr>
        <w:pStyle w:val="ListParagraph"/>
        <w:suppressAutoHyphens w:val="false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1.3.</w:t>
      </w:r>
      <w:r>
        <w:rPr>
          <w:rFonts w:ascii="Verdana" w:hAnsi="Verdana"/>
          <w:b w:val="false"/>
          <w:bCs w:val="false"/>
          <w:iCs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O prazo de vigência da 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aquisição/contratação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 será de 01 (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UM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) 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ano</w:t>
      </w:r>
      <w:r>
        <w:rPr>
          <w:rFonts w:cs="Arial" w:ascii="Verdana" w:hAnsi="Verdana"/>
          <w:b w:val="false"/>
          <w:bCs w:val="false"/>
          <w:iCs/>
          <w:color w:val="FF0000"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contados a partir da sua publicação no diário oficial ou da sua divulgação no PNCP</w:t>
      </w:r>
      <w:r>
        <w:rPr>
          <w:rFonts w:cs="Arial" w:ascii="Verdana" w:hAnsi="Verdana"/>
          <w:bCs/>
          <w:iCs/>
          <w:color w:val="000000"/>
          <w:sz w:val="20"/>
          <w:szCs w:val="20"/>
          <w:u w:val="none"/>
        </w:rPr>
        <w:t>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1.4. O custo estimado total da aquisição/contratação é de</w:t>
      </w:r>
      <w:r>
        <w:rPr>
          <w:rFonts w:eastAsia="Times New Roman" w:cs="Arial" w:ascii="Verdana" w:hAnsi="Verdana"/>
          <w:b/>
          <w:bCs/>
          <w:i w:val="false"/>
          <w:iCs w:val="false"/>
          <w:color w:val="000000"/>
          <w:sz w:val="20"/>
          <w:szCs w:val="20"/>
          <w:shd w:fill="auto" w:val="clear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 xml:space="preserve">R$ 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192.133,50 (cento e noventa e dois mil cento e trinta e três reais e cinquenta centavos)</w:t>
      </w:r>
      <w:r>
        <w:rPr>
          <w:rFonts w:eastAsia="Times New Roman" w:cs="Times New Roman" w:ascii="Verdana" w:hAnsi="Verdana"/>
          <w:b w:val="false"/>
          <w:bCs w:val="false"/>
          <w:i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conforme custos unitários apostos nos orçamentos e nos quadros comparativos de preços simp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les em anexo.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 xml:space="preserve">1.5. </w:t>
      </w:r>
      <w:r>
        <w:rPr>
          <w:rFonts w:cs="Verdana" w:ascii="Verdana" w:hAnsi="Verdana"/>
          <w:b w:val="false"/>
          <w:bCs w:val="false"/>
          <w:sz w:val="20"/>
          <w:szCs w:val="20"/>
          <w:u w:val="none"/>
        </w:rPr>
        <w:t>O preço a ser registrado já inclui todas as despesas necessárias ao fornecimento/execução do objeto da ata, sem quaisquer ônus para a Prefeitura Municipal de São Gabriel da Palha – ES no que se refere a fretes, tributos e outros.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>1.6. Os preços registrados poderão ser revistos em decorrência de eventual redução dos preços praticados no mercado ou de fato que eleve o custo dos serviços ou bens registrados, cabendo ao Órgão Gerenciador promover as negociações junto aos fornecedores, observadas as disposições contidas na Lei Federal nº 14.133/2021 e no Decreto Municipal nº 3.609/2023.</w:t>
      </w:r>
    </w:p>
    <w:p>
      <w:pPr>
        <w:pStyle w:val="Normal"/>
        <w:suppressAutoHyphens w:val="false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1.6.1. Em caso de força maior, caso fortuito ou fato do príncipe ou em decorrência de fatos imprevisíveis ou previsíveis de consequências incalculáveis, que inviabilizem a execução da ata tal como pactuada, nos termos da alínea “d” do inciso II do caput do art. 124 da </w:t>
      </w:r>
      <w:bookmarkStart w:id="1" w:name="_Hlk143593028"/>
      <w:r>
        <w:rPr>
          <w:rFonts w:cs="Verdana" w:ascii="Verdana" w:hAnsi="Verdana"/>
          <w:sz w:val="20"/>
          <w:szCs w:val="20"/>
        </w:rPr>
        <w:t>Lei nº 14.133, de 2021</w:t>
      </w:r>
      <w:bookmarkEnd w:id="1"/>
      <w:r>
        <w:rPr>
          <w:rFonts w:cs="Verdana" w:ascii="Verdana" w:hAnsi="Verdana"/>
          <w:sz w:val="20"/>
          <w:szCs w:val="20"/>
        </w:rPr>
        <w:t>;</w:t>
      </w:r>
    </w:p>
    <w:p>
      <w:pPr>
        <w:pStyle w:val="Normal"/>
        <w:suppressAutoHyphens w:val="false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  <w:lang w:eastAsia="pt-BR"/>
        </w:rPr>
        <w:t xml:space="preserve">1.6.2 </w:t>
      </w:r>
      <w:r>
        <w:rPr>
          <w:rFonts w:cs="Verdana" w:ascii="Verdana" w:hAnsi="Verdana"/>
          <w:sz w:val="20"/>
          <w:szCs w:val="20"/>
        </w:rPr>
        <w:t>Em caso de criação, alteração ou ex</w:t>
      </w:r>
      <w:r>
        <w:rPr>
          <w:rFonts w:eastAsia="Calibri" w:cs="Verdana" w:ascii="Verdana" w:hAnsi="Verdana"/>
          <w:sz w:val="20"/>
          <w:szCs w:val="20"/>
        </w:rPr>
        <w:t>ti</w:t>
      </w:r>
      <w:r>
        <w:rPr>
          <w:rFonts w:cs="Verdana" w:ascii="Verdana" w:hAnsi="Verdana"/>
          <w:sz w:val="20"/>
          <w:szCs w:val="20"/>
        </w:rPr>
        <w:t>nção de quaisquer tributos ou encargos legais ou a superveniência de disposições legais, com comprovada repercussão sobre os preços registrados;</w:t>
      </w:r>
    </w:p>
    <w:p>
      <w:pPr>
        <w:pStyle w:val="Nvel3-R"/>
        <w:numPr>
          <w:ilvl w:val="0"/>
          <w:numId w:val="0"/>
        </w:numPr>
        <w:tabs>
          <w:tab w:val="clear" w:pos="708"/>
          <w:tab w:val="left" w:pos="510" w:leader="none"/>
        </w:tabs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1.6.3.</w:t>
      </w:r>
      <w:r>
        <w:rPr>
          <w:rFonts w:cs="Verdana" w:ascii="Verdana" w:hAnsi="Verdana"/>
          <w:b/>
          <w:bCs/>
          <w:i w:val="false"/>
          <w:iCs w:val="false"/>
          <w:color w:val="000000"/>
          <w:sz w:val="20"/>
          <w:szCs w:val="20"/>
        </w:rPr>
        <w:t xml:space="preserve"> </w:t>
      </w:r>
      <w:r>
        <w:rPr>
          <w:rFonts w:cs="Verdana" w:ascii="Verdana" w:hAnsi="Verdana"/>
          <w:i w:val="false"/>
          <w:iCs w:val="false"/>
          <w:color w:val="000000"/>
          <w:sz w:val="20"/>
          <w:szCs w:val="20"/>
        </w:rPr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0"/>
          <w:numId w:val="0"/>
        </w:numPr>
        <w:tabs>
          <w:tab w:val="clear" w:pos="708"/>
          <w:tab w:val="left" w:pos="567" w:leader="none"/>
          <w:tab w:val="left" w:pos="1185" w:leader="none"/>
        </w:tabs>
        <w:spacing w:lineRule="auto" w:line="240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sz w:val="20"/>
          <w:szCs w:val="20"/>
        </w:rPr>
        <w:t xml:space="preserve">1.6.3.1 </w:t>
      </w:r>
      <w:r>
        <w:rPr>
          <w:rFonts w:cs="Arial" w:ascii="Verdana" w:hAnsi="Verdana"/>
          <w:b/>
          <w:bCs/>
          <w:sz w:val="20"/>
          <w:szCs w:val="20"/>
          <w:u w:val="none"/>
        </w:rPr>
        <w:t>No caso de reajustamento, deverá ser respeitada a contagem da anualidade e a utilização do índice INPC</w:t>
      </w:r>
      <w:r>
        <w:rPr>
          <w:rFonts w:cs="Verdana" w:ascii="Verdana" w:hAnsi="Verdana"/>
          <w:b/>
          <w:bCs/>
          <w:sz w:val="20"/>
          <w:szCs w:val="20"/>
        </w:rPr>
        <w:t>;</w:t>
      </w:r>
    </w:p>
    <w:p>
      <w:pPr>
        <w:pStyle w:val="Nvel4"/>
        <w:numPr>
          <w:ilvl w:val="0"/>
          <w:numId w:val="0"/>
        </w:numPr>
        <w:tabs>
          <w:tab w:val="clear" w:pos="708"/>
          <w:tab w:val="left" w:pos="567" w:leader="none"/>
          <w:tab w:val="left" w:pos="1185" w:leader="none"/>
        </w:tabs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eastAsia="Times New Roman" w:cs="Verdana" w:ascii="Verdana" w:hAnsi="Verdana"/>
          <w:iCs/>
          <w:color w:val="000000"/>
          <w:sz w:val="20"/>
          <w:szCs w:val="20"/>
        </w:rPr>
        <w:t>1.6.3.2 No caso da repactuação, poderá ser a pedido do interessado, conforme critérios definidos para a contratação.</w:t>
      </w:r>
    </w:p>
    <w:p>
      <w:pPr>
        <w:pStyle w:val="Nvel4"/>
        <w:numPr>
          <w:ilvl w:val="0"/>
          <w:numId w:val="0"/>
        </w:numPr>
        <w:tabs>
          <w:tab w:val="clear" w:pos="708"/>
          <w:tab w:val="left" w:pos="567" w:leader="none"/>
          <w:tab w:val="left" w:pos="1185" w:leader="none"/>
        </w:tabs>
        <w:spacing w:lineRule="auto" w:line="240" w:before="0" w:after="0"/>
        <w:ind w:hanging="0" w:left="0" w:right="0"/>
        <w:rPr>
          <w:rFonts w:ascii="Verdana" w:hAnsi="Verdana" w:eastAsia="Times New Roman" w:cs="Verdana"/>
          <w:iCs/>
          <w:color w:val="000000"/>
          <w:sz w:val="20"/>
          <w:szCs w:val="20"/>
        </w:rPr>
      </w:pPr>
      <w:r>
        <w:rPr>
          <w:rFonts w:eastAsia="Times New Roman" w:cs="Verdana" w:ascii="Verdana" w:hAnsi="Verdana"/>
          <w:iCs/>
          <w:color w:val="000000"/>
          <w:sz w:val="20"/>
          <w:szCs w:val="20"/>
        </w:rPr>
      </w:r>
    </w:p>
    <w:p>
      <w:pPr>
        <w:pStyle w:val="Nivel1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>2. FUNDAMENTAÇÃO E DESCRIÇÃO DA NECESSIDADE DA AQUISIÇÃO/CONTRATAÇÃO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2.1. Problemas diagnosticados que ensejem a necessidade de contratação/aquisição de serviços de plotagem, fabricação e reforma de placas e faixas e banners:</w:t>
      </w:r>
    </w:p>
    <w:p>
      <w:pPr>
        <w:pStyle w:val="Padro1"/>
        <w:widowControl/>
        <w:numPr>
          <w:ilvl w:val="0"/>
          <w:numId w:val="1"/>
        </w:numPr>
        <w:suppressAutoHyphens w:val="tru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sz w:val="20"/>
          <w:szCs w:val="20"/>
        </w:rPr>
        <w:t>Necessidade constante de aquisição de plotagem (impressos, banners, adesivos);</w:t>
      </w:r>
    </w:p>
    <w:p>
      <w:pPr>
        <w:pStyle w:val="Padro1"/>
        <w:widowControl/>
        <w:numPr>
          <w:ilvl w:val="0"/>
          <w:numId w:val="1"/>
        </w:numPr>
        <w:suppressAutoHyphens w:val="tru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sz w:val="20"/>
          <w:szCs w:val="20"/>
        </w:rPr>
        <w:t>Ausência de ferramentas e material para confecção própria</w:t>
      </w: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.</w:t>
      </w:r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2.2. A aquisição para execução de serviços de plotagem, de serviços na fabricação e reforma de placas, faixas e banners, justifica-se devido à necessidade de adquirir adesivos, impressos, banners e placas para os serviços e eventos realizados pelas diversas secretarias municipais da Prefeitura Municipais de São Gabriel da Palha.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 xml:space="preserve">2.3. 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Diante da necessidade acima, iniciou-se o presente Estudo Técnico Preliminar por meio do qual será possível decidir qual é a melhor solução.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bCs/>
          <w:sz w:val="20"/>
          <w:szCs w:val="20"/>
          <w:shd w:fill="auto" w:val="clear"/>
        </w:rPr>
      </w:pPr>
      <w:r>
        <w:rPr>
          <w:rFonts w:eastAsia="Arial" w:cs="Arial" w:ascii="Verdana" w:hAnsi="Verdana"/>
          <w:bCs/>
          <w:sz w:val="20"/>
          <w:szCs w:val="20"/>
          <w:shd w:fill="auto" w:val="clear"/>
        </w:rPr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DESCRIÇÃO DA SOLUÇÃO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3.1 A solução a ser adotada é g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arantir que a administração possa contar com recursos para divulgação dos eventos e serviços de interesse da sociedade, tais como campanhas de vacinação, divulgação de ações sociais e interesse coletivo, identidade visual de carros (ambulância, carros oficiais) entre outros no município de São Gabriel da Palha.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3</w:t>
      </w:r>
      <w:r>
        <w:rPr>
          <w:rFonts w:cs="Arial" w:ascii="Verdana" w:hAnsi="Verdana"/>
          <w:b w:val="false"/>
          <w:bCs w:val="false"/>
          <w:sz w:val="20"/>
          <w:szCs w:val="20"/>
        </w:rPr>
        <w:t>.2. As especificações do serviço que estão contidas neste Estudo Técnico Preliminar, conforme solicitação de compras em anexo, estão de acordo com os padrões existentes no mercado.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3.3 A aquisição/contatação deverá obedecer, no que couber, ao disposto na Lei n.º 14.133/2021 e suas alterações.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4. </w:t>
      </w:r>
      <w:r>
        <w:rPr>
          <w:rFonts w:eastAsia="Times New Roman" w:cs="Times New Roman" w:ascii="Verdana" w:hAnsi="Verdana"/>
          <w:b/>
          <w:bCs/>
          <w:color w:val="auto"/>
          <w:kern w:val="0"/>
          <w:sz w:val="20"/>
          <w:szCs w:val="20"/>
          <w:u w:val="none"/>
          <w:lang w:val="pt-BR" w:eastAsia="pt-BR" w:bidi="ar-SA"/>
        </w:rPr>
        <w:t>DISTRIBUIÇÃO DOS SERVIÇOS POR UG</w:t>
      </w:r>
    </w:p>
    <w:p>
      <w:pPr>
        <w:pStyle w:val="Normal"/>
        <w:spacing w:lineRule="auto" w:line="240" w:before="6" w:after="6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4.1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A distribuição dos equipamentos por UG será de acordo com a planilha abaixo:</w:t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tbl>
      <w:tblPr>
        <w:tblW w:w="9767" w:type="dxa"/>
        <w:jc w:val="left"/>
        <w:tblInd w:w="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67"/>
        <w:gridCol w:w="2500"/>
        <w:gridCol w:w="2383"/>
        <w:gridCol w:w="1534"/>
        <w:gridCol w:w="1422"/>
        <w:gridCol w:w="1260"/>
      </w:tblGrid>
      <w:tr>
        <w:trPr/>
        <w:tc>
          <w:tcPr>
            <w:tcW w:w="6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5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65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QUANTIDADE POR UG</w:t>
            </w:r>
          </w:p>
        </w:tc>
      </w:tr>
      <w:tr>
        <w:trPr/>
        <w:tc>
          <w:tcPr>
            <w:tcW w:w="66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</w:r>
          </w:p>
        </w:tc>
        <w:tc>
          <w:tcPr>
            <w:tcW w:w="250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pt-BR" w:bidi="ar-SA"/>
              </w:rPr>
              <w:t>ADMINISTRAÇÃO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pt-BR" w:bidi="ar-SA"/>
              </w:rPr>
              <w:t>SAÚDE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EDUCAÇÃO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SOCIAL</w:t>
            </w:r>
          </w:p>
        </w:tc>
      </w:tr>
      <w:tr>
        <w:trPr/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confecção de publicidade, colagem, locação de placa outdoor, 15 dias, tamanho 9mts x 3 mts e criação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</w:t>
            </w:r>
          </w:p>
        </w:tc>
      </w:tr>
      <w:tr>
        <w:trPr>
          <w:trHeight w:val="398" w:hRule="atLeast"/>
        </w:trPr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confecção de faixas e banners em lona com impressão digital, com acabamento em ilhós ou madeira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20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40</w:t>
            </w:r>
          </w:p>
        </w:tc>
      </w:tr>
      <w:tr>
        <w:trPr/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 de confecção de adesivos coloridos com impressão digital e colagem.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75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20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30</w:t>
            </w:r>
          </w:p>
        </w:tc>
      </w:tr>
      <w:tr>
        <w:trPr/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 confecção de adesivos coloridos com impressão digital e colagem em veículos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40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20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30</w:t>
            </w:r>
          </w:p>
        </w:tc>
      </w:tr>
      <w:tr>
        <w:trPr/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confecção de placas, instalado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70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75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20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40</w:t>
            </w:r>
          </w:p>
        </w:tc>
      </w:tr>
      <w:tr>
        <w:trPr/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Serviços de reformas de placas, instalado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75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20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20</w:t>
            </w:r>
          </w:p>
        </w:tc>
      </w:tr>
      <w:tr>
        <w:trPr/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Serviço de instalação de película de controle solar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60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30</w:t>
            </w:r>
          </w:p>
        </w:tc>
      </w:tr>
    </w:tbl>
    <w:p>
      <w:pPr>
        <w:pStyle w:val="Normal"/>
        <w:spacing w:lineRule="auto" w:line="240" w:before="0" w:after="0"/>
        <w:ind w:hanging="0" w:left="0" w:right="0"/>
        <w:jc w:val="both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ivel1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Cs/>
          <w:sz w:val="20"/>
          <w:szCs w:val="20"/>
        </w:rPr>
        <w:t>5. REQUISITOS DA AQUISIÇÃO/CONTRATAÇÃO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5.1. Neste procedimento licitatório será sendo sagrada vencedora o fornecedor apresentar o menor preço, que poderá ser utilizado o critério de menor preço por item.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>5.2. A contratação deverá obedecer, no que couber, ao disposto na Lei n.º 14.133/2021 e suas alterações e demais legislações correlatas.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5.3. Dos modelos</w:t>
      </w:r>
    </w:p>
    <w:p>
      <w:pPr>
        <w:pStyle w:val="Normal"/>
        <w:widowControl w:val="false"/>
        <w:tabs>
          <w:tab w:val="clear" w:pos="708"/>
          <w:tab w:val="left" w:pos="500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FFFFFF" w:val="clear"/>
        </w:rPr>
        <w:t>5.3.1. As secretarias requisitantes desta Prefeitura disponibilizarão os modelos a licitante vencedora, em cada contratação realizada.</w:t>
      </w:r>
    </w:p>
    <w:p>
      <w:pPr>
        <w:pStyle w:val="Normal"/>
        <w:widowControl w:val="false"/>
        <w:tabs>
          <w:tab w:val="clear" w:pos="708"/>
          <w:tab w:val="left" w:pos="500" w:leader="none"/>
        </w:tabs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Times New Roman" w:ascii="Verdana" w:hAnsi="Verdana"/>
          <w:b w:val="false"/>
          <w:bCs w:val="false"/>
          <w:color w:val="000000"/>
          <w:sz w:val="20"/>
          <w:szCs w:val="20"/>
          <w:highlight w:val="white"/>
        </w:rPr>
        <w:t>5.3.2. Os modelos estarão disponíveis em mídia digital, nos formatos corel(.cdr), word (.doc) e pdf(.pdf) e serão disponibilizados no momento da efetiva solicitação da secretaria requisitante.</w:t>
      </w:r>
    </w:p>
    <w:p>
      <w:pPr>
        <w:pStyle w:val="PargrafodaLista"/>
        <w:tabs>
          <w:tab w:val="clear" w:pos="708"/>
          <w:tab w:val="left" w:pos="465" w:leader="none"/>
        </w:tabs>
        <w:spacing w:lineRule="auto" w:line="240" w:before="0" w:after="0"/>
        <w:ind w:hanging="0" w:left="0" w:right="0"/>
        <w:contextualSpacing w:val="false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ivel1"/>
        <w:suppressAutoHyphens w:val="true"/>
        <w:spacing w:lineRule="auto" w:line="240" w:before="0" w:after="0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i w:val="false"/>
          <w:iCs w:val="false"/>
          <w:sz w:val="20"/>
          <w:szCs w:val="20"/>
        </w:rPr>
        <w:t>6. ENTREGA E CRITÉRIOS DE ACEITAÇÃO DO OBJETO.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6.1.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O fornecedor deverá entregar os materiais confeccionados no prazo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pt-BR" w:bidi="ar-SA"/>
        </w:rPr>
        <w:t xml:space="preserve">estipulado,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de até 15 (quinze) dias corridos para a entrega, a partir do recebimento da Ordem de Fornecimento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emitida pelo Departamento de Compras.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6.2. A entrega será realizada conforme solicitações das secretarias requisitantes, com as informações de entrega constantes na Autorização de Serviços.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6.2.1. Contato&gt;</w:t>
      </w:r>
      <w:bookmarkStart w:id="2" w:name="page66R_mcid13"/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Telefone. (27) 3727-1366</w:t>
      </w:r>
    </w:p>
    <w:p>
      <w:pPr>
        <w:pStyle w:val="Normal"/>
        <w:spacing w:lineRule="auto" w:line="240"/>
        <w:ind w:hanging="0" w:left="0" w:right="0"/>
        <w:jc w:val="both"/>
        <w:rPr/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E-mail. </w:t>
      </w:r>
      <w:r>
        <w:rPr>
          <w:rStyle w:val="Hyperlink"/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administração@saogabriel.es.gov.br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Responsável: Secretaria Municipal de Administração.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6.3. O prazo de validade na data da entrega não poderá ser inferior à metade do prazo total recomendado pelo fabricante.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6.4. Os materiais confeccionados serão recebidos provisoriamente no prazo de 02 (dois) dias, pelo (a) responsável pelo acompanhamento e fiscalização da ata de registro de preços, para efeito de posterior verificação de sua conformidade com as especificações constantes neste Termo de Referência e na proposta.</w:t>
      </w:r>
      <w:r>
        <w:rPr>
          <w:rFonts w:ascii="Verdana" w:hAnsi="Verdana"/>
          <w:b w:val="false"/>
          <w:bCs w:val="false"/>
          <w:sz w:val="20"/>
          <w:szCs w:val="20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6.5. Os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itens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poderão ser rejeitados, no todo ou em parte, quando em desacordo com as especificações constantes neste Termo de Referência e na proposta, devendo ser substituídos no prazo de 24h (vinte e quatro horas), a contar da notificação</w:t>
      </w:r>
      <w:r>
        <w:rPr>
          <w:rFonts w:ascii="Verdana" w:hAnsi="Verdana"/>
          <w:b w:val="false"/>
          <w:bCs w:val="false"/>
          <w:sz w:val="20"/>
          <w:szCs w:val="20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da contratada, às suas custas, sem prejuízo da aplicação das penalidades.</w:t>
      </w:r>
      <w:r>
        <w:rPr>
          <w:rFonts w:ascii="Verdana" w:hAnsi="Verdana"/>
          <w:b w:val="false"/>
          <w:bCs w:val="false"/>
          <w:sz w:val="20"/>
          <w:szCs w:val="20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6.6. O recebimento provisório ou definitivo do objeto não exclui a responsabilidade da contratada </w:t>
      </w:r>
      <w:r>
        <w:rPr>
          <w:rFonts w:cs="Arial" w:ascii="Verdana" w:hAnsi="Verdana"/>
          <w:i w:val="false"/>
          <w:iCs w:val="false"/>
          <w:color w:val="000000"/>
          <w:sz w:val="20"/>
          <w:szCs w:val="20"/>
        </w:rPr>
        <w:t>pelos prejuízos resultantes da incorreta execução do contrato.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  <w:bookmarkStart w:id="3" w:name="page66R_mcid16"/>
      <w:bookmarkStart w:id="4" w:name="page66R_mcid15"/>
      <w:bookmarkStart w:id="5" w:name="page66R_mcid16"/>
      <w:bookmarkStart w:id="6" w:name="page66R_mcid15"/>
      <w:bookmarkEnd w:id="5"/>
      <w:bookmarkEnd w:id="6"/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7. OBRIGAÇÕES DA CONTRATANTE</w:t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Receber os objetos no prazo e condições estabelecidas neste Termo de Referência e seus anexos.</w:t>
      </w:r>
    </w:p>
    <w:p>
      <w:pPr>
        <w:pStyle w:val="Normal"/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7.2. Verificar minuciosamente, no prazo fixado, a conformidade dos bens recebidos provisoriamente com as especificações constantes neste Termo de Referência e da proposta, para fins de aceitação e recebimento definitivo.</w:t>
      </w:r>
      <w:bookmarkStart w:id="7" w:name="page68R_mcid1"/>
    </w:p>
    <w:p>
      <w:pPr>
        <w:pStyle w:val="Normal"/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7.3. Comunicar à Contratada, por escrito, sobre imperfeições, falhas ou irregularidades verificadas no objeto fornecido, para que seja substituído, reparado ou corrigido.</w:t>
      </w:r>
    </w:p>
    <w:p>
      <w:pPr>
        <w:pStyle w:val="Normal"/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7.4. Acompanhar e fiscalizar o cumprimento das obrigações da Contratada, através de comissão/servidor especialmente designado.</w:t>
      </w:r>
    </w:p>
    <w:p>
      <w:pPr>
        <w:pStyle w:val="Normal"/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7.5. Efetuar o pagamento à Contratada no valor correspondente ao fornecimento dos objetos, no prazo e forma estabelecidos neste TR e seus anexos.</w:t>
      </w:r>
    </w:p>
    <w:p>
      <w:pPr>
        <w:pStyle w:val="Normal"/>
        <w:spacing w:lineRule="auto" w:line="240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Administração não responderá por quaisquer compromissos assumidos pela Contratada com terceiros, ainda que vinculados à execução da presente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Ata de Registro de Preços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, bem como por qualquer dano causado a terceiros em decorrência de ato da Contratada, de seus empregados, prepostos ou subordinados. 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 w:cs="Arial"/>
          <w:b/>
          <w:bCs/>
          <w:i w:val="false"/>
          <w:i w:val="false"/>
          <w:iCs w:val="false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8. OBRIGAÇÕES DA CONTRATADA</w:t>
      </w:r>
      <w:bookmarkStart w:id="8" w:name="page68R_mcid7"/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8.2. Efetuar a entrega do objeto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8.3.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8.4.</w:t>
      </w: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 xml:space="preserve">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Substituir, reparar ou corrigir, às suas expensas, no prazo fixado neste Termo de Referência, o objeto com avarias ou defeitos.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Comunicar à Contratante, no prazo máximo de 72 (setenta e duas) horas que antecede a data da entrega, os motivos que impossibilitem o cumprimento do prazo previsto, com a devida comprovação.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Manter, durante toda a execução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ata de registro de preços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8.7.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Indicar preposto para representá-la durante a execução Da ata de registro de preços.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8.8.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CONTRATADA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8.9.Durante a execução da ata de registro de preços, a CONTRATADA deverá:</w:t>
      </w:r>
      <w:r>
        <w:rPr>
          <w:rFonts w:ascii="Verdana" w:hAnsi="Verdana"/>
          <w:b w:val="false"/>
          <w:bCs w:val="false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8.9.1.</w:t>
      </w: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 xml:space="preserve">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Atender prontamente às solicitações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a secretaria e seus equipamentos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no fornecimento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os objetos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nas quantidades e especificações deste TERMO DE REFERÊNCIA.</w:t>
      </w:r>
      <w:bookmarkStart w:id="9" w:name="page68R_mcid17"/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2. Entregar os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objetos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acondicionados adequadamente, em invólucro lacrado, de forma a permitir completa segurança durante o transporte, acompanhado de nota fiscal, discriminado o quantitativo do produto, de acordo com as especificações técnicas.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8.9.3.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nota fiscal deverá ser acompanhada pelas Certidões de Regularidades Fiscais.</w:t>
      </w:r>
      <w:r>
        <w:rPr>
          <w:rFonts w:ascii="Verdana" w:hAnsi="Verdana"/>
          <w:b w:val="false"/>
          <w:bCs w:val="false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8.9.4.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Substituir quaisquer objeto que não esteja dentro do padrão de qualidade, em bom estado de conservação, que apresente defeito ou não esteja em conformidade com as especificações da proposta apresentada.</w:t>
      </w:r>
      <w:bookmarkStart w:id="10" w:name="page68R_mcid20"/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9. DO CONTROLE E FISCALIZAÇÃO DA EXECUÇÃO</w:t>
      </w:r>
      <w:bookmarkStart w:id="11" w:name="page70R_mcid10"/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9.1. A fiscalização será realizado por servidor do Departamento de Almoxarifado para acompanhar e fiscalizar a entrega dos bens, anotando em registro próprio todas as ocorrências relacionadas com a execução e determinando o que for necessário à regularização de falhas ou defeitos observados.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9.3. Não haverá reajustamento dos preços dos produtos adquiridos.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10. CRITÉRIOS DE PAGAMENTO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10.1.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eastAsia="en-US"/>
        </w:rPr>
        <w:t>(30) trinta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24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55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55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separate"/>
      </w:r>
      <w:r>
        <w:rPr>
          <w:rStyle w:val="ListLabel55"/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inciso II do art. 75 da Lei nº 14.133, de 2021</w:t>
      </w:r>
      <w:r>
        <w:rPr>
          <w:rStyle w:val="ListLabel55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hanging="0" w:left="43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Eventual destaque do valor de retenções tributárias cabíveis.</w:t>
      </w:r>
    </w:p>
    <w:p>
      <w:pPr>
        <w:pStyle w:val="Normal"/>
        <w:widowControl/>
        <w:tabs>
          <w:tab w:val="clear" w:pos="708"/>
          <w:tab w:val="left" w:pos="625" w:leader="none"/>
        </w:tabs>
        <w:suppressAutoHyphens w:val="true"/>
        <w:bidi w:val="0"/>
        <w:spacing w:lineRule="auto" w:line="240" w:before="0" w:after="0"/>
        <w:ind w:hanging="0" w:left="-57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4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10.5. 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Hyperlink"/>
          <w:rFonts w:ascii="Verdana" w:hAnsi="Verdana"/>
          <w:b w:val="false"/>
          <w:bCs w:val="false"/>
          <w:sz w:val="20"/>
          <w:szCs w:val="20"/>
          <w:lang w:eastAsia="en-US"/>
        </w:rPr>
        <w:t>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10.6. O pagamento será efetuado no prazo de até 30 (trinta) dias úteis contados da finalização da liquidação da despesa.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10.7. O pagamento será realizado por meio de ordem bancária, para crédito em banco, agência e conta corrente indicados pelo contratado.</w:t>
      </w:r>
    </w:p>
    <w:p>
      <w:pPr>
        <w:pStyle w:val="Normal"/>
        <w:spacing w:lineRule="auto" w:line="24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10.8. Será considerada data do pagamento o dia em que constar como emitida a ordem bancária para pagamento.</w:t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10.9. Quando do pagamento, será efetuada a retenção tributária prevista na legislação aplicável.</w:t>
      </w:r>
    </w:p>
    <w:p>
      <w:pPr>
        <w:pStyle w:val="Normal"/>
        <w:spacing w:lineRule="auto" w:line="240"/>
        <w:ind w:hanging="0" w:left="-79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10.10. O contratado regularmente optante pelo Simples Nacional, nos termos da </w:t>
      </w:r>
      <w:hyperlink r:id="rId2">
        <w:r>
          <w:rPr>
            <w:rStyle w:val="ListLabel56"/>
            <w:rFonts w:ascii="Verdana" w:hAnsi="Verdana"/>
            <w:b w:val="false"/>
            <w:bCs w:val="false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, não sofrerá a retenção tributária quanto aos impostos e contribuiçõ</w:t>
      </w:r>
      <w:r>
        <w:rPr>
          <w:rFonts w:ascii="Verdana" w:hAnsi="Verdana"/>
          <w:sz w:val="20"/>
          <w:szCs w:val="20"/>
          <w:lang w:eastAsia="en-US"/>
        </w:rPr>
        <w:t>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10.11.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Calibri" w:cs="Calibri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10.11.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VM = VF 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  <w:vertAlign w:val="subscript"/>
        </w:rPr>
        <w:t>*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cs="Verdana" w:ascii="Verdana" w:hAnsi="Verdana"/>
          <w:b w:val="false"/>
          <w:bCs w:val="false"/>
          <w:sz w:val="20"/>
          <w:szCs w:val="20"/>
          <w:u w:val="single"/>
          <w:shd w:fill="auto" w:val="clear"/>
        </w:rPr>
        <w:t>0,33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  <w:vertAlign w:val="subscript"/>
        </w:rPr>
        <w:t>*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Verdana" w:cs="Verdana" w:ascii="Verdana" w:hAnsi="Verdana"/>
          <w:b w:val="false"/>
          <w:bCs w:val="false"/>
          <w:sz w:val="20"/>
          <w:szCs w:val="20"/>
          <w:shd w:fill="auto" w:val="clear"/>
        </w:rPr>
        <w:t xml:space="preserve">        </w:t>
      </w:r>
      <w:r>
        <w:rPr>
          <w:rFonts w:cs="Verdana" w:ascii="Verdana" w:hAnsi="Verdana"/>
          <w:b w:val="false"/>
          <w:bCs w:val="false"/>
          <w:sz w:val="20"/>
          <w:szCs w:val="20"/>
          <w:shd w:fill="auto" w:val="clear"/>
        </w:rPr>
        <w:t>100</w:t>
      </w:r>
    </w:p>
    <w:p>
      <w:pPr>
        <w:pStyle w:val="Normal"/>
        <w:suppressAutoHyphens w:val="false"/>
        <w:spacing w:lineRule="auto" w:line="240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Onde: </w:t>
      </w:r>
    </w:p>
    <w:p>
      <w:pPr>
        <w:pStyle w:val="Normal"/>
        <w:suppressAutoHyphens w:val="false"/>
        <w:spacing w:lineRule="auto" w:line="240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VM = Valor da Multa Financeira; </w:t>
      </w:r>
    </w:p>
    <w:p>
      <w:pPr>
        <w:pStyle w:val="Normal"/>
        <w:suppressAutoHyphens w:val="false"/>
        <w:spacing w:lineRule="auto" w:line="240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hanging="0" w:left="0" w:right="0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ND = Número de dias em atraso.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10.12.. </w:t>
      </w: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10.13.</w:t>
      </w: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10.14. </w:t>
      </w:r>
      <w:r>
        <w:rPr>
          <w:rFonts w:cs="Arial;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10.15. </w:t>
      </w:r>
      <w:r>
        <w:rPr>
          <w:rFonts w:cs="Arial;Arial" w:ascii="Verdana" w:hAnsi="Verdana"/>
          <w:b w:val="false"/>
          <w:bCs w:val="false"/>
          <w:sz w:val="20"/>
          <w:szCs w:val="20"/>
          <w:shd w:fill="auto" w:val="clear"/>
        </w:rPr>
        <w:t xml:space="preserve">Para a efetivação do pagamento, a CONTRATADA deverá manter as mesmas </w:t>
      </w:r>
      <w:r>
        <w:rPr>
          <w:rFonts w:cs="Arial;Arial" w:ascii="Verdana" w:hAnsi="Verdana"/>
          <w:b w:val="false"/>
          <w:bCs w:val="false"/>
          <w:sz w:val="20"/>
          <w:szCs w:val="20"/>
          <w:shd w:fill="auto" w:val="clear"/>
          <w:lang w:eastAsia="pt-BR"/>
        </w:rPr>
        <w:t>condições relativas à proposta de preço e a habilitação;</w:t>
      </w:r>
    </w:p>
    <w:p>
      <w:pPr>
        <w:pStyle w:val="Default"/>
        <w:spacing w:lineRule="auto" w:line="240"/>
        <w:jc w:val="both"/>
        <w:rPr>
          <w:rFonts w:ascii="Verdana" w:hAnsi="Verdana" w:cs="Arial;Arial"/>
          <w:b w:val="false"/>
          <w:bCs w:val="false"/>
          <w:sz w:val="20"/>
          <w:szCs w:val="20"/>
          <w:highlight w:val="none"/>
          <w:shd w:fill="auto" w:val="clear"/>
          <w:lang w:eastAsia="pt-BR"/>
        </w:rPr>
      </w:pPr>
      <w:r>
        <w:rPr>
          <w:rFonts w:cs="Arial;Arial" w:ascii="Verdana" w:hAnsi="Verdana"/>
          <w:b w:val="false"/>
          <w:bCs w:val="false"/>
          <w:sz w:val="20"/>
          <w:szCs w:val="20"/>
          <w:shd w:fill="auto" w:val="clear"/>
          <w:lang w:eastAsia="pt-BR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/>
          <w:bCs/>
          <w:iCs/>
          <w:sz w:val="20"/>
          <w:szCs w:val="20"/>
          <w:shd w:fill="auto" w:val="clear"/>
        </w:rPr>
        <w:t>. DAS SANÇÕES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</w:t>
      </w:r>
      <w:r>
        <w:rPr>
          <w:rFonts w:ascii="Verdana" w:hAnsi="Verdana"/>
          <w:iCs/>
          <w:sz w:val="20"/>
          <w:szCs w:val="20"/>
          <w:shd w:fill="auto" w:val="clear"/>
        </w:rPr>
        <w:t xml:space="preserve"> Comete infração administrativa o fornecedor/prestador de serviço que cometer 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quaisquer das infrações previstas no art. 155 da Lei nº 14.133, de 2021, quais sejam: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.1.1. Dar causa à inexecução parcial do contrato.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.1.3. Dar causa à inexecução total;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.1.4. Deixar de entregar a documentação exigida para o certame.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.1.5. Não manter a proposta, salvo em decorrência de fato superveniente devidamente justificado.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.1.7. Ensejar o retardamento da execução ou da entrega do objeto sem motivo justificado,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.1.8.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11.1.9. Fraudar a dispensa eletrônica ou praticar ato fraudulento na execução do objeto.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.1.10. Comportar-se de modo inidôneo ou cometer fraude de qualquer natureza.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.1.11. Praticar atos ilícitos com vistas a frustrar os objetivos deste certame.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.1.12. Praticar ato lesivo previsto no art. 5º da Lei nº 12.846, de 1º de agosto de 2013.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11.1.13.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a) Advertê</w:t>
      </w:r>
      <w:r>
        <w:rPr>
          <w:rFonts w:ascii="Verdana" w:hAnsi="Verdana"/>
          <w:iCs/>
          <w:sz w:val="20"/>
          <w:szCs w:val="20"/>
          <w:shd w:fill="auto" w:val="clear"/>
        </w:rPr>
        <w:t>ncia pela falta do subitem 11.1.1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-57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eastAsia="Times New Roman" w:cs="Times New Roman" w:ascii="Verdana" w:hAnsi="Verdana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iCs/>
          <w:sz w:val="20"/>
          <w:szCs w:val="20"/>
          <w:shd w:fill="auto" w:val="clear"/>
        </w:rPr>
        <w:t xml:space="preserve">.1.7 e 20% (vinte por cento), se cometidas infrações previstas nos itens 11.1.8 a 11.1.12;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-57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b.1) O valor da multa poderá ser descontado das faturas devidas à CONTRATADA;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-57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 xml:space="preserve">b.2) A multa pode ser aplicada isoladamente ou juntamente com as penalidades definidas nos itens “c” e “d” abaixo: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  <w:shd w:fill="auto" w:val="clear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.3. Na aplicação das sanções serão considerados: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.3.1. A natureza e a gravidade da infração cometida.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11.3.2. As peculiaridades do caso concreto.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11.3.3. As circunstâncias agravantes ou atenuantes.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11.3.4. Os danos que dela provierem para a Administração Pública.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.3.5. A implantação ou o aperfeiçoamento de programa de integridade, conforme normas e orientações dos órgãos de controle.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  <w:lang w:eastAsia="en-US"/>
        </w:rPr>
        <w:t>11.5. A aplic</w:t>
      </w:r>
      <w:r>
        <w:rPr>
          <w:rFonts w:ascii="Verdana" w:hAnsi="Verdana"/>
          <w:iCs/>
          <w:sz w:val="20"/>
          <w:szCs w:val="20"/>
          <w:shd w:fill="auto" w:val="clear"/>
          <w:lang w:eastAsia="en-US"/>
        </w:rPr>
        <w:t>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12. DA HABILITAÇÃO</w:t>
      </w:r>
    </w:p>
    <w:p>
      <w:pPr>
        <w:pStyle w:val="Nivel01"/>
        <w:keepNext w:val="true"/>
        <w:keepLines/>
        <w:widowControl/>
        <w:tabs>
          <w:tab w:val="clear" w:pos="567"/>
          <w:tab w:val="left" w:pos="517" w:leader="none"/>
          <w:tab w:val="left" w:pos="683" w:leader="none"/>
        </w:tabs>
        <w:suppressAutoHyphens w:val="true"/>
        <w:bidi w:val="0"/>
        <w:spacing w:lineRule="auto" w:line="240" w:before="57" w:after="57"/>
        <w:ind w:hanging="0" w:left="-57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12.1</w:t>
      </w:r>
      <w:r>
        <w:rPr>
          <w:rFonts w:cs="Verdana" w:ascii="Verdana" w:hAnsi="Verdana"/>
          <w:b w:val="false"/>
          <w:sz w:val="20"/>
          <w:szCs w:val="20"/>
          <w:lang w:eastAsia="ar-SA"/>
        </w:rPr>
        <w:t xml:space="preserve"> Como condição prévia ao exame da documentação de habilitação do licitante </w:t>
      </w: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3">
        <w:r>
          <w:rPr>
            <w:rStyle w:val="Hyperlink"/>
            <w:rFonts w:cs="Verdana" w:ascii="Verdana" w:hAnsi="Verdana"/>
            <w:b w:val="false"/>
            <w:bCs w:val="false"/>
            <w:sz w:val="20"/>
            <w:szCs w:val="20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Style w:val="Hyperlink"/>
            <w:rFonts w:cs="Verdana" w:ascii="Verdana" w:hAnsi="Verdana"/>
            <w:b w:val="false"/>
            <w:bCs w:val="false"/>
            <w:sz w:val="20"/>
            <w:szCs w:val="20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).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40" w:before="57" w:after="57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sz w:val="20"/>
          <w:szCs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Style w:val="Hyperlink"/>
            <w:rFonts w:cs="Verdana" w:ascii="Verdana" w:hAnsi="Verdana"/>
            <w:b w:val="false"/>
            <w:bCs w:val="false"/>
            <w:sz w:val="20"/>
            <w:szCs w:val="20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sz w:val="20"/>
          <w:szCs w:val="20"/>
        </w:rPr>
        <w:t xml:space="preserve"> responsáveis/proibidos-de-contratar/).</w:t>
      </w:r>
    </w:p>
    <w:p>
      <w:pPr>
        <w:pStyle w:val="Normal"/>
        <w:spacing w:lineRule="auto" w:line="240" w:before="57" w:after="57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Style w:val="Hyperlink"/>
            <w:rFonts w:cs="Verdana" w:ascii="Verdana" w:hAnsi="Verdana"/>
            <w:b w:val="false"/>
            <w:bCs w:val="false"/>
            <w:sz w:val="20"/>
            <w:szCs w:val="20"/>
            <w:lang w:eastAsia="ar-SA"/>
          </w:rPr>
          <w:t>https://certidoesapf.apps.tcu.gov.br/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Normal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12.1.2.3. O licitante será convocado para manifestação previamente à sua desclassificação.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12.1.4. </w:t>
      </w:r>
      <w:r>
        <w:rPr>
          <w:rFonts w:cs="Verdana" w:ascii="Verdana" w:hAnsi="Verdana"/>
          <w:bCs/>
          <w:color w:val="000000"/>
          <w:sz w:val="20"/>
          <w:szCs w:val="20"/>
        </w:rPr>
        <w:t>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12.2</w:t>
      </w:r>
      <w:r>
        <w:rPr>
          <w:rFonts w:cs="Verdana" w:ascii="Verdana" w:hAnsi="Verdana"/>
          <w:sz w:val="20"/>
          <w:szCs w:val="20"/>
          <w:lang w:eastAsia="ar-SA"/>
        </w:rPr>
        <w:t xml:space="preserve"> </w:t>
      </w:r>
      <w:r>
        <w:rPr>
          <w:rFonts w:cs="Verdana" w:ascii="Verdana" w:hAnsi="Verdana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PADRO"/>
        <w:keepNext w:val="false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12.5 Não serão aceitos documentos de habilitação com indicação de CNPJ/CPF diferentes, salvo aqueles legalmente permitidos.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 xml:space="preserve">12.6 </w:t>
      </w:r>
      <w:r>
        <w:rPr>
          <w:rFonts w:cs="Verdana" w:ascii="Verdana" w:hAnsi="Verdana"/>
          <w:sz w:val="20"/>
          <w:szCs w:val="20"/>
        </w:rPr>
        <w:t>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12.7 R</w:t>
      </w:r>
      <w:r>
        <w:rPr>
          <w:rFonts w:cs="Verdana" w:ascii="Verdana" w:hAnsi="Verdana"/>
          <w:sz w:val="20"/>
          <w:szCs w:val="20"/>
        </w:rPr>
        <w:t>essalvado o disposto no item 5.3,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40" w:before="0" w:after="0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12.8 Habilitação jurídica: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12.8.1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7">
        <w:r>
          <w:rPr>
            <w:rStyle w:val="Hyperlink"/>
            <w:rFonts w:cs="Verdana" w:ascii="Verdana" w:hAnsi="Verdana"/>
            <w:b w:val="false"/>
            <w:bCs w:val="false"/>
            <w:color w:val="000000"/>
            <w:sz w:val="20"/>
            <w:szCs w:val="20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12.8.7 No caso de empresa ou sociedade estrangeira em funcionamento no País: decreto de autorização;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12.8.8 Os documentos acima deverão estar acompanhados de todas as alterações ou da con</w:t>
      </w:r>
      <w:r>
        <w:rPr>
          <w:rFonts w:cs="Verdana" w:ascii="Verdana" w:hAnsi="Verdana"/>
          <w:bCs/>
          <w:color w:val="000000"/>
          <w:sz w:val="20"/>
          <w:szCs w:val="20"/>
        </w:rPr>
        <w:t>solidação respectiva;</w:t>
      </w:r>
    </w:p>
    <w:p>
      <w:pPr>
        <w:pStyle w:val="ListParagraph"/>
        <w:spacing w:lineRule="auto" w:line="240" w:before="0" w:after="0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12.9 Regularidade fiscal </w:t>
      </w:r>
      <w:r>
        <w:rPr>
          <w:rFonts w:cs="Verdana" w:ascii="Verdana" w:hAnsi="Verdana"/>
          <w:b/>
          <w:bCs/>
          <w:sz w:val="20"/>
          <w:szCs w:val="20"/>
        </w:rPr>
        <w:t>e trabalhista</w:t>
      </w:r>
      <w:r>
        <w:rPr>
          <w:rFonts w:cs="Verdana" w:ascii="Verdana" w:hAnsi="Verdana"/>
          <w:b/>
          <w:bCs/>
          <w:color w:val="0000FF"/>
          <w:sz w:val="20"/>
          <w:szCs w:val="20"/>
        </w:rPr>
        <w:t>:</w:t>
      </w:r>
    </w:p>
    <w:p>
      <w:pPr>
        <w:pStyle w:val="Normal"/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12.9.1 Prova de inscrição no Cadastro Nacional de Pessoas Jurídicas ou no Cadastro de Pessoas Físicas, conforme o caso;</w:t>
      </w:r>
    </w:p>
    <w:p>
      <w:pPr>
        <w:pStyle w:val="Normal"/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12.9.2 Certidão de regularidade junto à fazenda pública Municipal, do domicílio do Licitante;</w:t>
      </w:r>
    </w:p>
    <w:p>
      <w:pPr>
        <w:pStyle w:val="Normal"/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12.9.3 Certidão de regularidade junto à fazenda pública Estadual, do domicílio do Licitante;</w:t>
      </w:r>
    </w:p>
    <w:p>
      <w:pPr>
        <w:pStyle w:val="Normal"/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>
      <w:pPr>
        <w:pStyle w:val="Normal"/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12.9.5 Certidão de regularidade junto ao FGTS;</w:t>
      </w:r>
    </w:p>
    <w:p>
      <w:pPr>
        <w:pStyle w:val="Normal"/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12.9.6 Certidão Negativa De Débitos Trabalhistas (CNDT) de acordo com a Lei 12440 de 7 de julho de 2011.</w:t>
      </w:r>
    </w:p>
    <w:p>
      <w:pPr>
        <w:pStyle w:val="Normal"/>
        <w:snapToGrid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 w:bidi="pt-BR"/>
        </w:rPr>
        <w:t>12.9.7</w:t>
      </w:r>
      <w:r>
        <w:rPr>
          <w:rFonts w:cs="Verdana" w:ascii="Verdana" w:hAnsi="Verdana"/>
          <w:color w:val="000000"/>
          <w:sz w:val="20"/>
          <w:szCs w:val="20"/>
          <w:lang w:eastAsia="en-US" w:bidi="pt-BR"/>
        </w:rPr>
        <w:t xml:space="preserve"> Caso o vencedor do menor preço seja qualificado como microempresa ou empresa de pequeno porte 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>
      <w:pPr>
        <w:pStyle w:val="ListParagraph"/>
        <w:spacing w:lineRule="auto" w:line="240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>12.10 Qualificação Econômico-Financeira</w:t>
      </w:r>
      <w:r>
        <w:rPr>
          <w:rFonts w:cs="Verdana" w:ascii="Verdana" w:hAnsi="Verdana"/>
          <w:color w:val="000000"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lineRule="auto" w:line="240" w:before="57" w:after="57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12.10.2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widowControl/>
        <w:tabs>
          <w:tab w:val="clear" w:pos="708"/>
          <w:tab w:val="left" w:pos="850" w:leader="none"/>
        </w:tabs>
        <w:suppressAutoHyphens w:val="true"/>
        <w:bidi w:val="0"/>
        <w:snapToGrid w:val="false"/>
        <w:spacing w:lineRule="auto" w:line="240" w:before="57" w:after="57"/>
        <w:ind w:hanging="0" w:left="-57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12.10.3 Para a contagem do prazo estabelecido na letra “a” deste capítulo, será contado a partir do primeiro dia que antecede a data da realização desta licitação.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lineRule="auto" w:line="240" w:before="57" w:after="57"/>
        <w:ind w:hanging="0" w:left="-79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 xml:space="preserve">12.10.4 As empresas que estiverem em processo de recuperação judicial ou recuperação extrajudicial deverão apresentar como condicionante de sua habilitação, além da certidão de inexistência de processo de falência, o deferimento do primeiro processo ou 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>a homologação do segundo, e, em ambos os casos, atestado de capacidade de cumprir o objeto licitado fornecido pelo juízo em que tramita a recuperação.</w:t>
      </w:r>
    </w:p>
    <w:p>
      <w:pPr>
        <w:pStyle w:val="Normal"/>
        <w:spacing w:lineRule="auto" w:line="240"/>
        <w:ind w:hanging="0" w:left="-79" w:right="0"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13. JUSTIFICATIVA PARA O PARCELAMENTO OU NÃO DA SOLUÇÃO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13.1. </w:t>
      </w:r>
      <w:r>
        <w:rPr>
          <w:rFonts w:cs="Arial" w:ascii="Verdana" w:hAnsi="Verdana"/>
          <w:sz w:val="20"/>
          <w:szCs w:val="20"/>
          <w:shd w:fill="auto" w:val="clear"/>
        </w:rPr>
        <w:t>O objeto da contratação será composto por 07 itens,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 R$ 192.133,50 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(cento e noventa e dois mil cento e trinta e três reais e cinquenta centavos)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. </w:t>
      </w:r>
      <w:r>
        <w:rPr>
          <w:rFonts w:cs="Arial" w:ascii="Verdana" w:hAnsi="Verdana"/>
          <w:sz w:val="20"/>
          <w:szCs w:val="20"/>
          <w:shd w:fill="auto" w:val="clear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  <w:shd w:fill="auto" w:val="clear"/>
        </w:rPr>
        <w:t>menor preço unitário</w:t>
      </w:r>
      <w:r>
        <w:rPr>
          <w:rFonts w:cs="Arial" w:ascii="Verdana" w:hAnsi="Verdana"/>
          <w:sz w:val="20"/>
          <w:szCs w:val="20"/>
          <w:shd w:fill="auto" w:val="clear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aquisição/contratação, posto que seja essa descrição que impulsiona a seleção da proposta mais vantajosa.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  <w:shd w:fill="FFFF00" w:val="clear"/>
        </w:rPr>
      </w:pPr>
      <w:r>
        <w:rPr>
          <w:rFonts w:cs="Arial" w:ascii="Verdana" w:hAnsi="Verdana"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14.1. Não se verifica contratações correlatas ou interdependentes para a viabilidade e contratação desta de</w:t>
      </w:r>
      <w:r>
        <w:rPr>
          <w:rFonts w:cs="Arial" w:ascii="Verdana" w:hAnsi="Verdana"/>
          <w:sz w:val="20"/>
          <w:szCs w:val="20"/>
        </w:rPr>
        <w:t>manda.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15.1 Os resultados pretendidos com a contratação tem como pilar a melhoria no atendimento</w:t>
      </w:r>
      <w:r>
        <w:rPr>
          <w:rFonts w:cs="Arial" w:ascii="Verdana" w:hAnsi="Verdana"/>
          <w:sz w:val="20"/>
          <w:szCs w:val="20"/>
        </w:rPr>
        <w:t xml:space="preserve"> ao cidadão, bem como garantir qualidade na realização dos eventos e treinamentos com a melhor divulgação das ações realizadas no município.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16.1.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A Administração Pública contará com a Secretaria Municipal de Administração e Secretarias requisitantes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responsável por acompanhar a prestação dos serviços,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recebimento e conferência das especificações contidas no processo licitatório.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  <w:shd w:fill="auto" w:val="clear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17.1. Não se verifica impactos ambientais da contratação.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18. DECLARAÇÕES DE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18.1. Neste sentido, a equipe de planejamento deste ETP e de acordo com a autoridade des</w:t>
      </w:r>
      <w:r>
        <w:rPr>
          <w:rFonts w:cs="Arial" w:ascii="Verdana" w:hAnsi="Verdana"/>
          <w:sz w:val="20"/>
          <w:szCs w:val="20"/>
        </w:rPr>
        <w:t>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19. JUSTIFICATIVAS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  <w:shd w:fill="auto" w:val="clear"/>
        </w:rPr>
        <w:t xml:space="preserve">19.1. Considerando a necessidade de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divulgação constante dos eventos e serviços de interesse da sociedade, tais como campanhas de vacinação, divulgação de ações sociais e interesse coletivo, identidade visual de carros (ambulância, carros oficiais) entre outros no município de São Gabriel da Palha</w:t>
      </w:r>
      <w:r>
        <w:rPr>
          <w:rFonts w:cs="Arial" w:ascii="Verdana" w:hAnsi="Verdana"/>
          <w:sz w:val="20"/>
          <w:szCs w:val="20"/>
          <w:shd w:fill="auto" w:val="clear"/>
        </w:rPr>
        <w:t>, decidiu-se pela aquisição/contratação do serviço.</w:t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</w:r>
    </w:p>
    <w:p>
      <w:pPr>
        <w:pStyle w:val="Normal"/>
        <w:spacing w:lineRule="auto" w:line="240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 xml:space="preserve">20. ADEQUAÇÃO ORÇAMENTÁRIA </w:t>
      </w:r>
    </w:p>
    <w:p>
      <w:pPr>
        <w:pStyle w:val="ListParagraph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20.1. </w:t>
      </w:r>
      <w:r>
        <w:rPr>
          <w:rFonts w:ascii="Verdana" w:hAnsi="Verdana"/>
          <w:sz w:val="20"/>
          <w:szCs w:val="20"/>
        </w:rPr>
        <w:t xml:space="preserve">As despesas decorrentes da presente </w:t>
      </w:r>
      <w:r>
        <w:rPr>
          <w:rFonts w:eastAsia="Times New Roman" w:cs="Times New Roman" w:ascii="Verdana" w:hAnsi="Verdana"/>
          <w:sz w:val="20"/>
          <w:szCs w:val="20"/>
        </w:rPr>
        <w:t>aquisição/contratação</w:t>
      </w:r>
      <w:r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autos, sendo a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>contratação no valor total de R$ 177.571,15 (cento e setenta e sete mil quinhentos e setenta e um reais e quinze centavos).</w:t>
      </w:r>
    </w:p>
    <w:p>
      <w:pPr>
        <w:pStyle w:val="ListParagraph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spacing w:lineRule="auto" w:line="24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>Valores divididos nas fichas: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numPr>
          <w:ilvl w:val="0"/>
          <w:numId w:val="2"/>
        </w:numPr>
        <w:spacing w:lineRule="auto" w:line="240" w:before="0" w:after="303"/>
        <w:ind w:hanging="0" w:left="36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  <w:shd w:fill="auto" w:val="clear"/>
        </w:rPr>
        <w:t>Secretaria Municipal de Administração  FICHA – FONTE: 0099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pt-BR" w:bidi="ar-SA"/>
        </w:rPr>
        <w:t>-</w:t>
      </w:r>
      <w:r>
        <w:rPr>
          <w:rFonts w:cs="Arial" w:ascii="Verdana" w:hAnsi="Verdana"/>
          <w:sz w:val="20"/>
          <w:szCs w:val="20"/>
          <w:shd w:fill="auto" w:val="clear"/>
        </w:rPr>
        <w:t>1500000000 o valor de R$ 61.291,00 (sessenta e um mil duzentos e noventa e um reais)</w:t>
      </w:r>
    </w:p>
    <w:p>
      <w:pPr>
        <w:pStyle w:val="Normal"/>
        <w:numPr>
          <w:ilvl w:val="0"/>
          <w:numId w:val="3"/>
        </w:numPr>
        <w:spacing w:lineRule="auto" w:line="240" w:before="0" w:after="303"/>
        <w:ind w:hanging="0" w:left="36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  <w:shd w:fill="auto" w:val="clear"/>
        </w:rPr>
        <w:t>Secretaria Municipal de Saúde FICHA – FONTE: 00514 – 160000000</w:t>
      </w:r>
      <w:r>
        <w:rPr>
          <w:rFonts w:cs="Arial" w:ascii="Verdana" w:hAnsi="Verdana"/>
          <w:sz w:val="20"/>
          <w:szCs w:val="20"/>
        </w:rPr>
        <w:t>000 o valor de R$ 69.388,50 (sessenta e nove mil trezentos e oitenta e oito reais e cinquenta centavos)</w:t>
      </w:r>
    </w:p>
    <w:p>
      <w:pPr>
        <w:pStyle w:val="Normal"/>
        <w:numPr>
          <w:ilvl w:val="0"/>
          <w:numId w:val="4"/>
        </w:numPr>
        <w:spacing w:lineRule="auto" w:line="240" w:before="0" w:after="303"/>
        <w:ind w:hanging="0" w:left="36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Secretaria Municipal do Trabalho, Assistência, Desenvolvimento Social e Família FICHA – FONTE: 00396 – 15000000000 o valor de R$ 38.380,00 (trinta e oito mil trezentos e oitenta reais)</w:t>
      </w:r>
    </w:p>
    <w:p>
      <w:pPr>
        <w:pStyle w:val="Normal"/>
        <w:numPr>
          <w:ilvl w:val="0"/>
          <w:numId w:val="5"/>
        </w:numPr>
        <w:spacing w:lineRule="auto" w:line="240" w:before="0" w:after="360"/>
        <w:ind w:hanging="0" w:left="36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Secretaria Municipal de Educação FICHA – FONTE: 00435 - 150000000000  o valor de R$ 23.074,00 (vinte e três mil setenta e quatro reais)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14. DOS RESPONSÁVEIS PELA ELABORAÇÃO DO TERMO DE REFERÊNCIA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14.1.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na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bookmarkStart w:id="12" w:name="_GoBack111"/>
      <w:bookmarkEnd w:id="12"/>
      <w:r>
        <w:rPr>
          <w:rFonts w:ascii="Verdana" w:hAnsi="Verdana"/>
          <w:sz w:val="20"/>
          <w:szCs w:val="20"/>
        </w:rPr>
        <w:t xml:space="preserve">São Gabriel da Palha, 13 de </w:t>
      </w:r>
      <w:r>
        <w:rPr>
          <w:rFonts w:eastAsia="Times New Roman" w:cs="Times New Roman" w:ascii="Verdana" w:hAnsi="Verdana"/>
          <w:color w:val="auto"/>
          <w:kern w:val="0"/>
          <w:sz w:val="20"/>
          <w:szCs w:val="20"/>
          <w:lang w:val="pt-BR" w:eastAsia="pt-BR" w:bidi="ar-SA"/>
        </w:rPr>
        <w:t>julho</w:t>
      </w:r>
      <w:r>
        <w:rPr>
          <w:rFonts w:ascii="Verdana" w:hAnsi="Verdana"/>
          <w:sz w:val="20"/>
          <w:szCs w:val="20"/>
        </w:rPr>
        <w:t xml:space="preserve"> de 2026</w:t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sectPr>
          <w:headerReference w:type="even" r:id="rId8"/>
          <w:headerReference w:type="default" r:id="rId9"/>
          <w:headerReference w:type="first" r:id="rId10"/>
          <w:footerReference w:type="even" r:id="rId11"/>
          <w:footerReference w:type="default" r:id="rId12"/>
          <w:footerReference w:type="first" r:id="rId13"/>
          <w:type w:val="nextPage"/>
          <w:pgSz w:w="11906" w:h="16838"/>
          <w:pgMar w:left="1550" w:right="905" w:gutter="0" w:header="227" w:top="851" w:footer="567" w:bottom="851"/>
          <w:pgNumType w:fmt="decimal"/>
          <w:formProt w:val="false"/>
          <w:textDirection w:val="lrTb"/>
          <w:docGrid w:type="default" w:linePitch="326" w:charSpace="0"/>
        </w:sectPr>
      </w:pP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lef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>ANDRESSA LINHARES MARTINS</w:t>
      </w:r>
    </w:p>
    <w:p>
      <w:pPr>
        <w:pStyle w:val="Normal"/>
        <w:spacing w:lineRule="auto" w:line="240"/>
        <w:jc w:val="lef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 xml:space="preserve">Agente de Serviços Técnicos -  Decreto nº </w:t>
      </w:r>
    </w:p>
    <w:p>
      <w:pPr>
        <w:pStyle w:val="Normal"/>
        <w:spacing w:lineRule="auto" w:line="240"/>
        <w:jc w:val="lef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>Mat. nº 009838</w:t>
      </w:r>
    </w:p>
    <w:p>
      <w:pPr>
        <w:pStyle w:val="Normal"/>
        <w:spacing w:lineRule="auto" w:line="240"/>
        <w:jc w:val="lef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lef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>RODOLFO ANTÔNIO DA SILVA NETO</w:t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shd w:fill="auto" w:val="clear"/>
        </w:rPr>
        <w:t>Agente de Serviços Técnicos – Portaria n° 9.965/2025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Mat. nº 000406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RUTH BARBARA DA SILWA NASCIMENTO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Agente de Serviços Técnicos - Decreto n° 4.816/2025.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002983</w:t>
      </w:r>
      <w:bookmarkStart w:id="13" w:name="page68R_mcid171_Copia_1"/>
      <w:bookmarkStart w:id="14" w:name="art122%252525252525252525252525252525252"/>
      <w:bookmarkStart w:id="15" w:name="page68R_mcid171_Copia_1_Copia_1"/>
      <w:bookmarkStart w:id="16" w:name="art122%252525252525252525252525252525251"/>
      <w:bookmarkStart w:id="17" w:name="page66R_mcid01"/>
      <w:bookmarkStart w:id="18" w:name="page66R_mcid16_Copia_1"/>
      <w:bookmarkStart w:id="19" w:name="page66R_mcid15_Copia_1"/>
      <w:bookmarkEnd w:id="0"/>
      <w:bookmarkEnd w:id="2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  <w:bookmarkEnd w:id="17"/>
      <w:bookmarkEnd w:id="18"/>
      <w:bookmarkEnd w:id="19"/>
    </w:p>
    <w:sectPr>
      <w:type w:val="continuous"/>
      <w:pgSz w:w="11906" w:h="16838"/>
      <w:pgMar w:left="1550" w:right="905" w:gutter="0" w:header="227" w:top="851" w:footer="567" w:bottom="851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altName w:val="Cambria"/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OpenSymbol">
    <w:altName w:val="Arial Unicode MS"/>
    <w:charset w:val="01"/>
    <w:family w:val="auto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vanish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vanish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vanish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0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e18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537254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e18ec"/>
    <w:rPr/>
  </w:style>
  <w:style w:type="character" w:styleId="CabealhoChar" w:customStyle="1">
    <w:name w:val="Cabeçalho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 w:customStyle="1">
    <w:name w:val="A6"/>
    <w:qFormat/>
    <w:rPr>
      <w:color w:val="000000"/>
      <w:sz w:val="18"/>
      <w:u w:val="single"/>
    </w:rPr>
  </w:style>
  <w:style w:type="character" w:styleId="Hyperlink" w:customStyle="1">
    <w:name w:val="Hyperlink"/>
    <w:rPr>
      <w:color w:val="000080"/>
      <w:u w:val="single"/>
    </w:rPr>
  </w:style>
  <w:style w:type="character" w:styleId="CorpodetextoChar" w:customStyle="1">
    <w:name w:val="Corpo de texto Char"/>
    <w:basedOn w:val="DefaultParagraphFont"/>
    <w:qFormat/>
    <w:rsid w:val="004568f3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 w:customStyle="1">
    <w:name w:val="Citação Char"/>
    <w:basedOn w:val="DefaultParagraphFont"/>
    <w:qFormat/>
    <w:rsid w:val="00537254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537254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locked/>
    <w:rsid w:val="00537254"/>
    <w:rPr>
      <w:rFonts w:ascii="Arial" w:hAnsi="Arial" w:cs="Arial"/>
      <w:color w:val="000000"/>
    </w:rPr>
  </w:style>
  <w:style w:type="character" w:styleId="Strong">
    <w:name w:val="Strong"/>
    <w:basedOn w:val="DefaultParagraphFont"/>
    <w:uiPriority w:val="22"/>
    <w:qFormat/>
    <w:rsid w:val="00537254"/>
    <w:rPr>
      <w:b/>
      <w:bCs/>
    </w:rPr>
  </w:style>
  <w:style w:type="character" w:styleId="Ttulo1Char" w:customStyle="1">
    <w:name w:val="Título 1 Char"/>
    <w:basedOn w:val="DefaultParagraphFont"/>
    <w:uiPriority w:val="9"/>
    <w:qFormat/>
    <w:rsid w:val="00537254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pt-BR"/>
    </w:rPr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Ttulo2Char">
    <w:name w:val="Título 2 Char"/>
    <w:qFormat/>
    <w:rPr>
      <w:b/>
      <w:color w:val="000000"/>
      <w:sz w:val="24"/>
    </w:rPr>
  </w:style>
  <w:style w:type="character" w:styleId="normalchar1">
    <w:name w:val="normal__char1"/>
    <w:qFormat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>
    <w:name w:val="apple-style-span"/>
    <w:qFormat/>
    <w:rPr/>
  </w:style>
  <w:style w:type="character" w:styleId="citao2Char">
    <w:name w:val="citação 2 Char"/>
    <w:qFormat/>
    <w:rPr>
      <w:rFonts w:ascii="Ecofont_Spranq_eco_Sans" w:hAnsi="Ecofont_Spranq_eco_Sans" w:eastAsia="Calibri" w:cs="Tahoma"/>
      <w:i/>
      <w:iCs/>
      <w:color w:val="000000"/>
      <w:shd w:fill="FFFFCC" w:val="clear"/>
      <w:lang w:eastAsia="en-US"/>
    </w:rPr>
  </w:style>
  <w:style w:type="character" w:styleId="GradeColorida-nfase1Char">
    <w:name w:val="Grade Colorida - Ênfase 1 Char"/>
    <w:qFormat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annotationreference">
    <w:name w:val="annotation reference"/>
    <w:qFormat/>
    <w:rPr>
      <w:sz w:val="18"/>
      <w:szCs w:val="18"/>
    </w:rPr>
  </w:style>
  <w:style w:type="character" w:styleId="TextodecomentrioChar">
    <w:name w:val="Texto de comentário Char"/>
    <w:qFormat/>
    <w:rPr>
      <w:rFonts w:ascii="Arial" w:hAnsi="Arial" w:cs="Tahoma"/>
    </w:rPr>
  </w:style>
  <w:style w:type="character" w:styleId="AssuntodocomentrioChar">
    <w:name w:val="Assunto do comentário Char"/>
    <w:qFormat/>
    <w:rPr>
      <w:rFonts w:ascii="Arial" w:hAnsi="Arial" w:cs="Tahoma"/>
      <w:b/>
      <w:bCs/>
    </w:rPr>
  </w:style>
  <w:style w:type="character" w:styleId="Nivel01Char">
    <w:name w:val="Nivel 01 Char"/>
    <w:qFormat/>
    <w:rPr>
      <w:rFonts w:ascii="Ecofont_Spranq_eco_Sans" w:hAnsi="Ecofont_Spranq_eco_Sans" w:eastAsia="ＭＳ ゴシック"/>
      <w:b/>
      <w:bCs/>
      <w:color w:val="000000"/>
    </w:rPr>
  </w:style>
  <w:style w:type="character" w:styleId="Nivel01Char1">
    <w:name w:val="Nivel_01 Char"/>
    <w:qFormat/>
    <w:rPr>
      <w:rFonts w:ascii="Ecofont_Spranq_eco_Sans" w:hAnsi="Ecofont_Spranq_eco_Sans" w:eastAsia="ＭＳ ゴシック" w:cs="Times New Roman"/>
      <w:b/>
      <w:bCs/>
      <w:color w:val="365F91"/>
      <w:sz w:val="32"/>
      <w:szCs w:val="32"/>
    </w:rPr>
  </w:style>
  <w:style w:type="character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-converted-space">
    <w:name w:val="apple-converted-space"/>
    <w:qFormat/>
    <w:rPr/>
  </w:style>
  <w:style w:type="character" w:styleId="scayt-misspell-word">
    <w:name w:val="scayt-misspell-word"/>
    <w:qFormat/>
    <w:rPr/>
  </w:style>
  <w:style w:type="character" w:styleId="FollowedHyperlink">
    <w:name w:val="FollowedHyperlink"/>
    <w:rPr>
      <w:color w:val="800080"/>
      <w:u w:val="single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Header">
    <w:name w:val="Header"/>
    <w:basedOn w:val="Normal"/>
    <w:link w:val="Cabealho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uiPriority w:val="34"/>
    <w:qFormat/>
    <w:rsid w:val="007a2726"/>
    <w:pPr>
      <w:spacing w:before="0" w:after="0"/>
      <w:ind w:hanging="0" w:left="720"/>
      <w:contextualSpacing/>
    </w:pPr>
    <w:rPr/>
  </w:style>
  <w:style w:type="paragraph" w:styleId="Tabelanormal1" w:customStyle="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 w:customStyle="1">
    <w:name w:val="Nivel1"/>
    <w:basedOn w:val="Heading1"/>
    <w:next w:val="Normal"/>
    <w:link w:val="Nivel1Char"/>
    <w:qFormat/>
    <w:rsid w:val="00537254"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 w:customStyle="1">
    <w:name w:val="Standard"/>
    <w:qFormat/>
    <w:rsid w:val="0053725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 w:customStyle="1">
    <w:name w:val="citação 2"/>
    <w:basedOn w:val="Quote"/>
    <w:qFormat/>
    <w:rsid w:val="00537254"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537254"/>
    <w:pPr>
      <w:suppressAutoHyphens w:val="false"/>
      <w:spacing w:lineRule="auto" w:line="276" w:before="120" w:after="120"/>
      <w:jc w:val="both"/>
    </w:pPr>
    <w:rPr>
      <w:rFonts w:ascii="Arial" w:hAnsi="Arial" w:eastAsia="Calibri" w:cs="Arial" w:eastAsiaTheme="minorHAnsi"/>
      <w:color w:val="000000"/>
      <w:sz w:val="22"/>
      <w:szCs w:val="22"/>
      <w:lang w:eastAsia="en-US"/>
    </w:rPr>
  </w:style>
  <w:style w:type="paragraph" w:styleId="Nivel3" w:customStyle="1">
    <w:name w:val="Nivel 3"/>
    <w:basedOn w:val="ListParagraph"/>
    <w:qFormat/>
    <w:rsid w:val="00537254"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qFormat/>
    <w:pPr/>
    <w:rPr>
      <w:rFonts w:ascii="Tahoma" w:hAnsi="Tahoma"/>
      <w:sz w:val="16"/>
      <w:szCs w:val="16"/>
    </w:rPr>
  </w:style>
  <w:style w:type="paragraph" w:styleId="Nvel2">
    <w:name w:val="Nível 2"/>
    <w:basedOn w:val="Normal"/>
    <w:qFormat/>
    <w:pPr>
      <w:spacing w:before="0" w:after="120"/>
      <w:jc w:val="both"/>
    </w:pPr>
    <w:rPr>
      <w:rFonts w:cs="Times New Roman"/>
      <w:b/>
      <w:szCs w:val="20"/>
    </w:rPr>
  </w:style>
  <w:style w:type="paragraph" w:styleId="ListBullet5">
    <w:name w:val="List Bullet 5"/>
    <w:basedOn w:val="Normal"/>
    <w:qFormat/>
    <w:pPr>
      <w:spacing w:before="0" w:after="0"/>
      <w:contextualSpacing/>
    </w:pPr>
    <w:rPr/>
  </w:style>
  <w:style w:type="paragraph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AnnotationText">
    <w:name w:val="Annotation Text"/>
    <w:basedOn w:val="Normal"/>
    <w:qFormat/>
    <w:pPr/>
    <w:rPr/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0"/>
      <w:b/>
      <w:bCs/>
      <w:color w:val="auto"/>
      <w:kern w:val="0"/>
      <w:sz w:val="20"/>
      <w:szCs w:val="20"/>
      <w:lang w:val="pt-BR" w:eastAsia="en-US" w:bidi="ar-SA"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Nivel011">
    <w:name w:val="Nivel_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365F91"/>
      <w:sz w:val="20"/>
      <w:szCs w:val="20"/>
    </w:rPr>
  </w:style>
  <w:style w:type="paragraph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PargrafodaLista1">
    <w:name w:val="Parágrafo da Lista1"/>
    <w:basedOn w:val="Normal"/>
    <w:qFormat/>
    <w:pPr>
      <w:ind w:hanging="0" w:left="720"/>
    </w:pPr>
    <w:rPr>
      <w:rFonts w:ascii="Ecofont_Spranq_eco_Sans" w:hAnsi="Ecofont_Spranq_eco_Sans" w:cs="Ecofont_Spranq_eco_Sans"/>
    </w:rPr>
  </w:style>
  <w:style w:type="paragraph" w:styleId="Nivel11">
    <w:name w:val="Nivel 1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432" w:left="644"/>
      <w:jc w:val="both"/>
    </w:pPr>
    <w:rPr>
      <w:rFonts w:ascii="Ecofont_Spranq_eco_Sans" w:hAnsi="Ecofont_Spranq_eco_Sans" w:eastAsia="Arial Unicode MS" w:cs="Arial"/>
      <w:b/>
      <w:color w:val="auto"/>
      <w:kern w:val="0"/>
      <w:sz w:val="22"/>
      <w:szCs w:val="22"/>
      <w:lang w:val="pt-BR" w:eastAsia="en-US" w:bidi="ar-SA"/>
    </w:rPr>
  </w:style>
  <w:style w:type="paragraph" w:styleId="Nivel4">
    <w:name w:val="Nivel 4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0" w:left="2491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Nivel5">
    <w:name w:val="Nivel 5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hanging="0" w:left="3485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hd w:fill="FFFFCC" w:val="clear"/>
      <w:lang w:eastAsia="en-US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;Cambria" w:hAnsi="Ecofont_Spranq_eco_Sans;Cambria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Padro1">
    <w:name w:val="Padrão"/>
    <w:qFormat/>
    <w:pPr>
      <w:widowControl/>
      <w:tabs>
        <w:tab w:val="left" w:pos="708" w:leader="none"/>
      </w:tabs>
      <w:suppressAutoHyphens w:val="true"/>
      <w:overflowPunct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Nvel3-R">
    <w:name w:val="Nível 3-R"/>
    <w:basedOn w:val="Normal"/>
    <w:qFormat/>
    <w:pPr>
      <w:numPr>
        <w:ilvl w:val="0"/>
        <w:numId w:val="1"/>
      </w:numPr>
      <w:suppressAutoHyphens w:val="false"/>
      <w:spacing w:lineRule="auto" w:line="276" w:before="120" w:after="120"/>
      <w:ind w:hanging="0" w:left="284" w:right="0"/>
      <w:jc w:val="both"/>
    </w:pPr>
    <w:rPr>
      <w:rFonts w:ascii="Arial" w:hAnsi="Arial" w:eastAsia="Times New Roman" w:cs="Arial"/>
      <w:i/>
      <w:iCs/>
      <w:color w:val="FF0000"/>
      <w:sz w:val="20"/>
      <w:szCs w:val="20"/>
    </w:rPr>
  </w:style>
  <w:style w:type="paragraph" w:styleId="Nvel3">
    <w:name w:val="Nível 3"/>
    <w:basedOn w:val="Nvel3-R"/>
    <w:qFormat/>
    <w:pPr/>
    <w:rPr>
      <w:i w:val="false"/>
      <w:iCs w:val="false"/>
      <w:color w:val="000000"/>
    </w:rPr>
  </w:style>
  <w:style w:type="paragraph" w:styleId="Nvel4">
    <w:name w:val="Nível 4"/>
    <w:basedOn w:val="Nvel3"/>
    <w:qFormat/>
    <w:pPr>
      <w:numPr>
        <w:ilvl w:val="0"/>
        <w:numId w:val="1"/>
      </w:numPr>
      <w:ind w:hanging="0" w:left="567" w:right="0"/>
    </w:pPr>
    <w:rPr>
      <w:rFonts w:ascii="Times New Roman" w:hAnsi="Times New Roman" w:cs="Times New Roman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53725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Application>LibreOffice/24.2.7.2$Windows_X86_64 LibreOffice_project/ee3885777aa7032db5a9b65deec9457448a91162</Application>
  <AppVersion>15.0000</AppVersion>
  <Pages>10</Pages>
  <Words>4850</Words>
  <Characters>27681</Characters>
  <CharactersWithSpaces>32268</CharactersWithSpaces>
  <Paragraphs>307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2026-08-21T09:58:29Z</cp:lastPrinted>
  <dcterms:modified xsi:type="dcterms:W3CDTF">2026-08-21T09:58:42Z</dcterms:modified>
  <cp:revision>153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